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60"/>
      </w:tblGrid>
      <w:tr w:rsidR="008C20AA" w:rsidRPr="008C20AA" w14:paraId="7F7BA9D7" w14:textId="77777777" w:rsidTr="008C20AA">
        <w:trPr>
          <w:tblCellSpacing w:w="15" w:type="dxa"/>
          <w:jc w:val="center"/>
        </w:trPr>
        <w:tc>
          <w:tcPr>
            <w:tcW w:w="9000" w:type="dxa"/>
            <w:hideMark/>
          </w:tcPr>
          <w:p w14:paraId="101B398E" w14:textId="77777777" w:rsidR="008C20AA" w:rsidRPr="008C20AA" w:rsidRDefault="008C20AA" w:rsidP="008C20A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C20AA">
              <w:rPr>
                <w:rFonts w:ascii="Georgia" w:eastAsia="Times New Roman" w:hAnsi="Georgia" w:cs="Times New Roman"/>
                <w:b/>
                <w:bCs/>
                <w:kern w:val="0"/>
                <w:sz w:val="36"/>
                <w:szCs w:val="36"/>
                <w14:ligatures w14:val="none"/>
              </w:rPr>
              <w:t>Texas Register</w:t>
            </w:r>
          </w:p>
        </w:tc>
      </w:tr>
    </w:tbl>
    <w:p w14:paraId="462F9238" w14:textId="77777777" w:rsidR="008C20AA" w:rsidRPr="008C20AA" w:rsidRDefault="008C20AA" w:rsidP="008C20AA">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19"/>
        <w:gridCol w:w="7641"/>
      </w:tblGrid>
      <w:tr w:rsidR="008C20AA" w:rsidRPr="008C20AA" w14:paraId="4A461206" w14:textId="77777777" w:rsidTr="008C20AA">
        <w:trPr>
          <w:tblCellSpacing w:w="15" w:type="dxa"/>
          <w:jc w:val="center"/>
        </w:trPr>
        <w:tc>
          <w:tcPr>
            <w:tcW w:w="0" w:type="auto"/>
            <w:hideMark/>
          </w:tcPr>
          <w:p w14:paraId="2A094496"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TITLE 31</w:t>
            </w:r>
          </w:p>
        </w:tc>
        <w:tc>
          <w:tcPr>
            <w:tcW w:w="0" w:type="auto"/>
            <w:hideMark/>
          </w:tcPr>
          <w:p w14:paraId="40990AF4"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NATURAL RESOURCES AND CONSERVATION</w:t>
            </w:r>
          </w:p>
        </w:tc>
      </w:tr>
      <w:tr w:rsidR="008C20AA" w:rsidRPr="008C20AA" w14:paraId="04BBC116" w14:textId="77777777" w:rsidTr="008C20AA">
        <w:trPr>
          <w:tblCellSpacing w:w="15" w:type="dxa"/>
          <w:jc w:val="center"/>
        </w:trPr>
        <w:tc>
          <w:tcPr>
            <w:tcW w:w="0" w:type="auto"/>
            <w:hideMark/>
          </w:tcPr>
          <w:p w14:paraId="7D2E52C8"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PART 21</w:t>
            </w:r>
          </w:p>
        </w:tc>
        <w:tc>
          <w:tcPr>
            <w:tcW w:w="0" w:type="auto"/>
            <w:hideMark/>
          </w:tcPr>
          <w:p w14:paraId="752AC45B"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TEXAS LOW-LEVEL RADIOACTIVE WASTE DISPOSAL COMPACT COMMISSION</w:t>
            </w:r>
          </w:p>
        </w:tc>
      </w:tr>
      <w:tr w:rsidR="008C20AA" w:rsidRPr="008C20AA" w14:paraId="5C4775C7" w14:textId="77777777" w:rsidTr="008C20AA">
        <w:trPr>
          <w:tblCellSpacing w:w="15" w:type="dxa"/>
          <w:jc w:val="center"/>
        </w:trPr>
        <w:tc>
          <w:tcPr>
            <w:tcW w:w="0" w:type="auto"/>
            <w:hideMark/>
          </w:tcPr>
          <w:p w14:paraId="31EB1D5E"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CHAPTER 675</w:t>
            </w:r>
          </w:p>
        </w:tc>
        <w:tc>
          <w:tcPr>
            <w:tcW w:w="0" w:type="auto"/>
            <w:hideMark/>
          </w:tcPr>
          <w:p w14:paraId="23D277B7"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OPERATIONAL RULES</w:t>
            </w:r>
          </w:p>
        </w:tc>
      </w:tr>
      <w:tr w:rsidR="008C20AA" w:rsidRPr="008C20AA" w14:paraId="734892F9" w14:textId="77777777" w:rsidTr="008C20AA">
        <w:trPr>
          <w:tblCellSpacing w:w="15" w:type="dxa"/>
          <w:jc w:val="center"/>
        </w:trPr>
        <w:tc>
          <w:tcPr>
            <w:tcW w:w="0" w:type="auto"/>
            <w:hideMark/>
          </w:tcPr>
          <w:p w14:paraId="3C7E4C61"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SUBCHAPTER B</w:t>
            </w:r>
          </w:p>
        </w:tc>
        <w:tc>
          <w:tcPr>
            <w:tcW w:w="0" w:type="auto"/>
            <w:hideMark/>
          </w:tcPr>
          <w:p w14:paraId="5444ED18"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EXPORTATION AND IMPORTATION OF WASTE</w:t>
            </w:r>
          </w:p>
        </w:tc>
      </w:tr>
      <w:tr w:rsidR="008C20AA" w:rsidRPr="008C20AA" w14:paraId="45029156" w14:textId="77777777" w:rsidTr="008C20AA">
        <w:trPr>
          <w:tblCellSpacing w:w="15" w:type="dxa"/>
          <w:jc w:val="center"/>
        </w:trPr>
        <w:tc>
          <w:tcPr>
            <w:tcW w:w="0" w:type="auto"/>
            <w:hideMark/>
          </w:tcPr>
          <w:p w14:paraId="423B51D1"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RULE §675.24</w:t>
            </w:r>
          </w:p>
        </w:tc>
        <w:tc>
          <w:tcPr>
            <w:tcW w:w="0" w:type="auto"/>
            <w:hideMark/>
          </w:tcPr>
          <w:p w14:paraId="78BEA666"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Requirement to Report on the Importation of Certain Low-Level Radioactive Waste for Management or Disposal that is not Required to be Disposed of in the Compact Facility</w:t>
            </w:r>
          </w:p>
        </w:tc>
      </w:tr>
      <w:tr w:rsidR="008C20AA" w:rsidRPr="008C20AA" w14:paraId="743EFFDE" w14:textId="77777777" w:rsidTr="008C20AA">
        <w:trPr>
          <w:tblCellSpacing w:w="15" w:type="dxa"/>
          <w:jc w:val="center"/>
        </w:trPr>
        <w:tc>
          <w:tcPr>
            <w:tcW w:w="0" w:type="auto"/>
            <w:hideMark/>
          </w:tcPr>
          <w:p w14:paraId="0E8E7ADE"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ISSUE</w:t>
            </w:r>
          </w:p>
        </w:tc>
        <w:tc>
          <w:tcPr>
            <w:tcW w:w="0" w:type="auto"/>
            <w:hideMark/>
          </w:tcPr>
          <w:p w14:paraId="0B0C5C56"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01/12/2024</w:t>
            </w:r>
          </w:p>
        </w:tc>
      </w:tr>
      <w:tr w:rsidR="008C20AA" w:rsidRPr="008C20AA" w14:paraId="35DC217D" w14:textId="77777777" w:rsidTr="008C20AA">
        <w:trPr>
          <w:tblCellSpacing w:w="15" w:type="dxa"/>
          <w:jc w:val="center"/>
        </w:trPr>
        <w:tc>
          <w:tcPr>
            <w:tcW w:w="0" w:type="auto"/>
            <w:hideMark/>
          </w:tcPr>
          <w:p w14:paraId="2FEAE36E"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ACTION</w:t>
            </w:r>
          </w:p>
        </w:tc>
        <w:tc>
          <w:tcPr>
            <w:tcW w:w="0" w:type="auto"/>
            <w:hideMark/>
          </w:tcPr>
          <w:p w14:paraId="6123CF7F" w14:textId="77777777" w:rsidR="008C20AA" w:rsidRPr="008C20AA" w:rsidRDefault="008C20AA" w:rsidP="008C20AA">
            <w:pPr>
              <w:spacing w:after="0" w:line="240" w:lineRule="auto"/>
              <w:rPr>
                <w:rFonts w:ascii="Times New Roman" w:eastAsia="Times New Roman" w:hAnsi="Times New Roman" w:cs="Times New Roman"/>
                <w:kern w:val="0"/>
                <w:sz w:val="24"/>
                <w:szCs w:val="24"/>
                <w14:ligatures w14:val="none"/>
              </w:rPr>
            </w:pPr>
            <w:r w:rsidRPr="008C20AA">
              <w:rPr>
                <w:rFonts w:ascii="Times New Roman" w:eastAsia="Times New Roman" w:hAnsi="Times New Roman" w:cs="Times New Roman"/>
                <w:kern w:val="0"/>
                <w:sz w:val="24"/>
                <w:szCs w:val="24"/>
                <w14:ligatures w14:val="none"/>
              </w:rPr>
              <w:t>Proposed</w:t>
            </w:r>
          </w:p>
        </w:tc>
      </w:tr>
    </w:tbl>
    <w:p w14:paraId="58FD96E5" w14:textId="77777777" w:rsidR="008C20AA" w:rsidRPr="008C20AA" w:rsidRDefault="008C20AA" w:rsidP="008C20AA">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82"/>
        <w:gridCol w:w="6491"/>
        <w:gridCol w:w="1887"/>
      </w:tblGrid>
      <w:tr w:rsidR="008C20AA" w:rsidRPr="008C20AA" w14:paraId="50249DFA" w14:textId="77777777" w:rsidTr="008C20AA">
        <w:trPr>
          <w:tblCellSpacing w:w="15" w:type="dxa"/>
          <w:jc w:val="center"/>
        </w:trPr>
        <w:tc>
          <w:tcPr>
            <w:tcW w:w="500" w:type="pct"/>
            <w:shd w:val="clear" w:color="auto" w:fill="ECEDF9"/>
            <w:hideMark/>
          </w:tcPr>
          <w:p w14:paraId="1392AAE8" w14:textId="77777777" w:rsidR="008C20AA" w:rsidRPr="008C20AA" w:rsidRDefault="008C20AA" w:rsidP="008C20AA">
            <w:pPr>
              <w:spacing w:after="0" w:line="240" w:lineRule="auto"/>
              <w:jc w:val="center"/>
              <w:rPr>
                <w:rFonts w:ascii="Times New Roman" w:eastAsia="Times New Roman" w:hAnsi="Times New Roman" w:cs="Times New Roman"/>
                <w:kern w:val="0"/>
                <w:sz w:val="24"/>
                <w:szCs w:val="24"/>
                <w14:ligatures w14:val="none"/>
              </w:rPr>
            </w:pPr>
            <w:hyperlink r:id="rId4" w:tgtFrame="_blank" w:history="1">
              <w:r w:rsidRPr="008C20AA">
                <w:rPr>
                  <w:rFonts w:ascii="Times New Roman" w:eastAsia="Times New Roman" w:hAnsi="Times New Roman" w:cs="Times New Roman"/>
                  <w:color w:val="0000FF"/>
                  <w:kern w:val="0"/>
                  <w:sz w:val="24"/>
                  <w:szCs w:val="24"/>
                  <w:u w:val="single"/>
                  <w14:ligatures w14:val="none"/>
                </w:rPr>
                <w:t>Preamble</w:t>
              </w:r>
            </w:hyperlink>
          </w:p>
        </w:tc>
        <w:tc>
          <w:tcPr>
            <w:tcW w:w="9750" w:type="dxa"/>
            <w:shd w:val="clear" w:color="auto" w:fill="ECEDF9"/>
            <w:hideMark/>
          </w:tcPr>
          <w:p w14:paraId="7CB34657" w14:textId="77777777" w:rsidR="008C20AA" w:rsidRPr="008C20AA" w:rsidRDefault="008C20AA" w:rsidP="008C20AA">
            <w:pPr>
              <w:spacing w:after="0" w:line="240" w:lineRule="auto"/>
              <w:jc w:val="center"/>
              <w:rPr>
                <w:rFonts w:ascii="Times New Roman" w:eastAsia="Times New Roman" w:hAnsi="Times New Roman" w:cs="Times New Roman"/>
                <w:kern w:val="0"/>
                <w:sz w:val="24"/>
                <w:szCs w:val="24"/>
                <w14:ligatures w14:val="none"/>
              </w:rPr>
            </w:pPr>
          </w:p>
        </w:tc>
        <w:tc>
          <w:tcPr>
            <w:tcW w:w="1000" w:type="pct"/>
            <w:shd w:val="clear" w:color="auto" w:fill="ECEDF9"/>
            <w:hideMark/>
          </w:tcPr>
          <w:p w14:paraId="049E836D" w14:textId="77777777" w:rsidR="008C20AA" w:rsidRPr="008C20AA" w:rsidRDefault="008C20AA" w:rsidP="008C20AA">
            <w:pPr>
              <w:spacing w:after="0" w:line="240" w:lineRule="auto"/>
              <w:jc w:val="center"/>
              <w:rPr>
                <w:rFonts w:ascii="Times New Roman" w:eastAsia="Times New Roman" w:hAnsi="Times New Roman" w:cs="Times New Roman"/>
                <w:kern w:val="0"/>
                <w:sz w:val="24"/>
                <w:szCs w:val="24"/>
                <w14:ligatures w14:val="none"/>
              </w:rPr>
            </w:pPr>
            <w:hyperlink r:id="rId5" w:history="1">
              <w:r w:rsidRPr="008C20AA">
                <w:rPr>
                  <w:rFonts w:ascii="Times New Roman" w:eastAsia="Times New Roman" w:hAnsi="Times New Roman" w:cs="Times New Roman"/>
                  <w:color w:val="0000FF"/>
                  <w:kern w:val="0"/>
                  <w:sz w:val="24"/>
                  <w:szCs w:val="24"/>
                  <w:u w:val="single"/>
                  <w14:ligatures w14:val="none"/>
                </w:rPr>
                <w:t>Texas Admin Code Rule</w:t>
              </w:r>
            </w:hyperlink>
          </w:p>
        </w:tc>
      </w:tr>
    </w:tbl>
    <w:p w14:paraId="27CD4E32" w14:textId="77777777" w:rsidR="008C20AA" w:rsidRPr="008C20AA" w:rsidRDefault="008C20AA" w:rsidP="008C20AA">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C20AA" w:rsidRPr="008C20AA" w14:paraId="7B436E4A" w14:textId="77777777" w:rsidTr="008C20AA">
        <w:trPr>
          <w:tblCellSpacing w:w="15" w:type="dxa"/>
        </w:trPr>
        <w:tc>
          <w:tcPr>
            <w:tcW w:w="0" w:type="auto"/>
            <w:vAlign w:val="center"/>
            <w:hideMark/>
          </w:tcPr>
          <w:p w14:paraId="0A3DADDB"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pict w14:anchorId="229A2F74">
                <v:rect id="_x0000_i1025" style="width:0;height:1.5pt" o:hralign="center" o:hrstd="t" o:hr="t" fillcolor="#a0a0a0" stroked="f"/>
              </w:pict>
            </w:r>
          </w:p>
        </w:tc>
      </w:tr>
      <w:tr w:rsidR="008C20AA" w:rsidRPr="008C20AA" w14:paraId="3EC9BD72" w14:textId="77777777" w:rsidTr="008C20AA">
        <w:trPr>
          <w:tblCellSpacing w:w="15" w:type="dxa"/>
        </w:trPr>
        <w:tc>
          <w:tcPr>
            <w:tcW w:w="0" w:type="auto"/>
            <w:vAlign w:val="center"/>
            <w:hideMark/>
          </w:tcPr>
          <w:p w14:paraId="64EB14E0"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(a)This section is applicable only in the host state.</w:t>
            </w:r>
          </w:p>
          <w:p w14:paraId="298CC94A"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(b)This section is applicable only to State of Texas licensed waste processors or brokers, or source consolidators, of certain radioactive waste (LLRW) that is included within the definition of low-level radioactive waste found in 30 TAC §336.2(89) (relating to Definitions) as the definition is in effect on the date this section becomes effective, or as 30 TAC §336.2(89) may be amended or renumbered in the future. For the purposes of this section, the material described in this subsection will be referred to as Non-Compact-Facility Low-Level Radioactive Waste ("NCFW").</w:t>
            </w:r>
          </w:p>
          <w:p w14:paraId="1912F5A6"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(c)</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(b)</w:t>
            </w:r>
            <w:r w:rsidRPr="008C20AA">
              <w:rPr>
                <w:rFonts w:ascii="Times New Roman" w:eastAsia="Times New Roman" w:hAnsi="Times New Roman" w:cs="Times New Roman"/>
                <w:color w:val="000000"/>
                <w:kern w:val="0"/>
                <w:sz w:val="27"/>
                <w:szCs w:val="27"/>
                <w14:ligatures w14:val="none"/>
              </w:rPr>
              <w:t>] This section is designed to gather information on the importation into the host state for disposal or management of certain low-level </w:t>
            </w:r>
            <w:r w:rsidRPr="008C20AA">
              <w:rPr>
                <w:rFonts w:ascii="Times New Roman" w:eastAsia="Times New Roman" w:hAnsi="Times New Roman" w:cs="Times New Roman"/>
                <w:color w:val="000000"/>
                <w:kern w:val="0"/>
                <w:sz w:val="27"/>
                <w:szCs w:val="27"/>
                <w:u w:val="single"/>
                <w14:ligatures w14:val="none"/>
              </w:rPr>
              <w:t>radioactive</w:t>
            </w:r>
            <w:r w:rsidRPr="008C20AA">
              <w:rPr>
                <w:rFonts w:ascii="Times New Roman" w:eastAsia="Times New Roman" w:hAnsi="Times New Roman" w:cs="Times New Roman"/>
                <w:color w:val="000000"/>
                <w:kern w:val="0"/>
                <w:sz w:val="27"/>
                <w:szCs w:val="27"/>
                <w14:ligatures w14:val="none"/>
              </w:rPr>
              <w:t> waste that:</w:t>
            </w:r>
          </w:p>
          <w:p w14:paraId="0766AC03"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[(1)is required when shipped to be listed on Nuclear Regulatory Commission (NRC) Forms 540 or 541 (Uniform Low-Level Waste Manifest Shipping Forms);]</w:t>
            </w:r>
          </w:p>
          <w:p w14:paraId="08E1A63E"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[(2)is included within the definition of low-level radioactive waste found in 30 TAC §336.2(89) (relating to Definitions) as the definition is in effect on the date this section becomes effective or as 30 TAC §336.2(89) may be amended or renumbered in the future, but is not intended for disposal in the Compact Waste Facility;]</w:t>
            </w:r>
          </w:p>
          <w:p w14:paraId="53B34003"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(1)</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(3)</w:t>
            </w:r>
            <w:r w:rsidRPr="008C20AA">
              <w:rPr>
                <w:rFonts w:ascii="Times New Roman" w:eastAsia="Times New Roman" w:hAnsi="Times New Roman" w:cs="Times New Roman"/>
                <w:color w:val="000000"/>
                <w:kern w:val="0"/>
                <w:sz w:val="27"/>
                <w:szCs w:val="27"/>
                <w14:ligatures w14:val="none"/>
              </w:rPr>
              <w:t>] is not low-level radioactive waste described by 42 United States Code, §2021c(b)(1) </w:t>
            </w:r>
            <w:r w:rsidRPr="008C20AA">
              <w:rPr>
                <w:rFonts w:ascii="Times New Roman" w:eastAsia="Times New Roman" w:hAnsi="Times New Roman" w:cs="Times New Roman"/>
                <w:color w:val="000000"/>
                <w:kern w:val="0"/>
                <w:sz w:val="27"/>
                <w:szCs w:val="27"/>
                <w:u w:val="single"/>
                <w14:ligatures w14:val="none"/>
              </w:rPr>
              <w:t>(relating to waste disposal for which the Federal government is responsible)</w:t>
            </w:r>
            <w:r w:rsidRPr="008C20AA">
              <w:rPr>
                <w:rFonts w:ascii="Times New Roman" w:eastAsia="Times New Roman" w:hAnsi="Times New Roman" w:cs="Times New Roman"/>
                <w:color w:val="000000"/>
                <w:kern w:val="0"/>
                <w:sz w:val="27"/>
                <w:szCs w:val="27"/>
                <w14:ligatures w14:val="none"/>
              </w:rPr>
              <w:t> or waste that is regulated under §675.23 of this title (relating to Importation of Waste from a Non-Party Generator for Disposal); and</w:t>
            </w:r>
          </w:p>
          <w:p w14:paraId="1EAB825E"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lastRenderedPageBreak/>
              <w:t>   </w:t>
            </w:r>
            <w:r w:rsidRPr="008C20AA">
              <w:rPr>
                <w:rFonts w:ascii="Times New Roman" w:eastAsia="Times New Roman" w:hAnsi="Times New Roman" w:cs="Times New Roman"/>
                <w:color w:val="000000"/>
                <w:kern w:val="0"/>
                <w:sz w:val="27"/>
                <w:szCs w:val="27"/>
                <w:u w:val="single"/>
                <w14:ligatures w14:val="none"/>
              </w:rPr>
              <w:t xml:space="preserve">(2)is required, when shipped, to be listed on Nuclear Regulatory Commission (NRC) Uniform Low-Level Waste Manifest Shipping Forms or other shipping paperwork (including but not limited to Bill of Lading, Hazardous Waste Manifest, or </w:t>
            </w:r>
            <w:proofErr w:type="gramStart"/>
            <w:r w:rsidRPr="008C20AA">
              <w:rPr>
                <w:rFonts w:ascii="Times New Roman" w:eastAsia="Times New Roman" w:hAnsi="Times New Roman" w:cs="Times New Roman"/>
                <w:color w:val="000000"/>
                <w:kern w:val="0"/>
                <w:sz w:val="27"/>
                <w:szCs w:val="27"/>
                <w:u w:val="single"/>
                <w14:ligatures w14:val="none"/>
              </w:rPr>
              <w:t>other</w:t>
            </w:r>
            <w:proofErr w:type="gramEnd"/>
            <w:r w:rsidRPr="008C20AA">
              <w:rPr>
                <w:rFonts w:ascii="Times New Roman" w:eastAsia="Times New Roman" w:hAnsi="Times New Roman" w:cs="Times New Roman"/>
                <w:color w:val="000000"/>
                <w:kern w:val="0"/>
                <w:sz w:val="27"/>
                <w:szCs w:val="27"/>
                <w:u w:val="single"/>
                <w14:ligatures w14:val="none"/>
              </w:rPr>
              <w:t xml:space="preserve"> manifest); or</w:t>
            </w:r>
          </w:p>
          <w:p w14:paraId="34B50A5E"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 xml:space="preserve">(3)is radioactive material being received for processing, recycling or consolidation and is subsequently declared to </w:t>
            </w:r>
            <w:proofErr w:type="spellStart"/>
            <w:r w:rsidRPr="008C20AA">
              <w:rPr>
                <w:rFonts w:ascii="Times New Roman" w:eastAsia="Times New Roman" w:hAnsi="Times New Roman" w:cs="Times New Roman"/>
                <w:color w:val="000000"/>
                <w:kern w:val="0"/>
                <w:sz w:val="27"/>
                <w:szCs w:val="27"/>
                <w:u w:val="single"/>
                <w14:ligatures w14:val="none"/>
              </w:rPr>
              <w:t>bebecomes</w:t>
            </w:r>
            <w:proofErr w:type="spellEnd"/>
            <w:r w:rsidRPr="008C20AA">
              <w:rPr>
                <w:rFonts w:ascii="Times New Roman" w:eastAsia="Times New Roman" w:hAnsi="Times New Roman" w:cs="Times New Roman"/>
                <w:color w:val="000000"/>
                <w:kern w:val="0"/>
                <w:sz w:val="27"/>
                <w:szCs w:val="27"/>
                <w:u w:val="single"/>
                <w14:ligatures w14:val="none"/>
              </w:rPr>
              <w:t xml:space="preserve"> low level radioactive waste as a result of the processing, recycling or consolidation, and becomes low level radioactive waste as a result of the processing, recycling, consolidation, including radioactive </w:t>
            </w:r>
            <w:proofErr w:type="spellStart"/>
            <w:r w:rsidRPr="008C20AA">
              <w:rPr>
                <w:rFonts w:ascii="Times New Roman" w:eastAsia="Times New Roman" w:hAnsi="Times New Roman" w:cs="Times New Roman"/>
                <w:color w:val="000000"/>
                <w:kern w:val="0"/>
                <w:sz w:val="27"/>
                <w:szCs w:val="27"/>
                <w:u w:val="single"/>
                <w14:ligatures w14:val="none"/>
              </w:rPr>
              <w:t>wastematerial</w:t>
            </w:r>
            <w:proofErr w:type="spellEnd"/>
            <w:r w:rsidRPr="008C20AA">
              <w:rPr>
                <w:rFonts w:ascii="Times New Roman" w:eastAsia="Times New Roman" w:hAnsi="Times New Roman" w:cs="Times New Roman"/>
                <w:color w:val="000000"/>
                <w:kern w:val="0"/>
                <w:sz w:val="27"/>
                <w:szCs w:val="27"/>
                <w:u w:val="single"/>
                <w14:ligatures w14:val="none"/>
              </w:rPr>
              <w:t xml:space="preserve"> imported into the Compact under NRC 10 CFR Part 110 (under a general or specific license) for processing, recycling or consolidation and is subsequently declared low level radioactive waste;</w:t>
            </w:r>
          </w:p>
          <w:p w14:paraId="205B9729"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 xml:space="preserve">(4)The information gathering associated with radioactive waste described in (c)(3) does not begin until after the radioactive material is declared waste by the processor, </w:t>
            </w:r>
            <w:proofErr w:type="gramStart"/>
            <w:r w:rsidRPr="008C20AA">
              <w:rPr>
                <w:rFonts w:ascii="Times New Roman" w:eastAsia="Times New Roman" w:hAnsi="Times New Roman" w:cs="Times New Roman"/>
                <w:color w:val="000000"/>
                <w:kern w:val="0"/>
                <w:sz w:val="27"/>
                <w:szCs w:val="27"/>
                <w:u w:val="single"/>
                <w14:ligatures w14:val="none"/>
              </w:rPr>
              <w:t>recycler</w:t>
            </w:r>
            <w:proofErr w:type="gramEnd"/>
            <w:r w:rsidRPr="008C20AA">
              <w:rPr>
                <w:rFonts w:ascii="Times New Roman" w:eastAsia="Times New Roman" w:hAnsi="Times New Roman" w:cs="Times New Roman"/>
                <w:color w:val="000000"/>
                <w:kern w:val="0"/>
                <w:sz w:val="27"/>
                <w:szCs w:val="27"/>
                <w:u w:val="single"/>
                <w14:ligatures w14:val="none"/>
              </w:rPr>
              <w:t xml:space="preserve"> or consolidator.</w:t>
            </w:r>
          </w:p>
          <w:p w14:paraId="74C2BFA8"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[(4)for the purposes of this section, the material described in this subsection will be referred to as Non-Compact-Facility Low-Level Radioactive Waste ("NCFW").]</w:t>
            </w:r>
          </w:p>
          <w:p w14:paraId="6E3F7FF9"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(d)</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(c)</w:t>
            </w:r>
            <w:r w:rsidRPr="008C20AA">
              <w:rPr>
                <w:rFonts w:ascii="Times New Roman" w:eastAsia="Times New Roman" w:hAnsi="Times New Roman" w:cs="Times New Roman"/>
                <w:color w:val="000000"/>
                <w:kern w:val="0"/>
                <w:sz w:val="27"/>
                <w:szCs w:val="27"/>
                <w14:ligatures w14:val="none"/>
              </w:rPr>
              <w:t>] Any entity in the host state that imports NCFW </w:t>
            </w:r>
            <w:r w:rsidRPr="008C20AA">
              <w:rPr>
                <w:rFonts w:ascii="Times New Roman" w:eastAsia="Times New Roman" w:hAnsi="Times New Roman" w:cs="Times New Roman"/>
                <w:color w:val="000000"/>
                <w:kern w:val="0"/>
                <w:sz w:val="27"/>
                <w:szCs w:val="27"/>
                <w:u w:val="single"/>
                <w14:ligatures w14:val="none"/>
              </w:rPr>
              <w:t>or radioactive material which is subsequently declared NCFW</w:t>
            </w:r>
            <w:r w:rsidRPr="008C20AA">
              <w:rPr>
                <w:rFonts w:ascii="Times New Roman" w:eastAsia="Times New Roman" w:hAnsi="Times New Roman" w:cs="Times New Roman"/>
                <w:color w:val="000000"/>
                <w:kern w:val="0"/>
                <w:sz w:val="27"/>
                <w:szCs w:val="27"/>
                <w14:ligatures w14:val="none"/>
              </w:rPr>
              <w:t> must enter into an agreement with the Commission that contains a requirement that it will report </w:t>
            </w:r>
            <w:r w:rsidRPr="008C20AA">
              <w:rPr>
                <w:rFonts w:ascii="Times New Roman" w:eastAsia="Times New Roman" w:hAnsi="Times New Roman" w:cs="Times New Roman"/>
                <w:color w:val="000000"/>
                <w:kern w:val="0"/>
                <w:sz w:val="27"/>
                <w:szCs w:val="27"/>
                <w:u w:val="single"/>
                <w14:ligatures w14:val="none"/>
              </w:rPr>
              <w:t>or make available for review as detailed below</w:t>
            </w:r>
            <w:r w:rsidRPr="008C20AA">
              <w:rPr>
                <w:rFonts w:ascii="Times New Roman" w:eastAsia="Times New Roman" w:hAnsi="Times New Roman" w:cs="Times New Roman"/>
                <w:color w:val="000000"/>
                <w:kern w:val="0"/>
                <w:sz w:val="27"/>
                <w:szCs w:val="27"/>
                <w14:ligatures w14:val="none"/>
              </w:rPr>
              <w:t> to the Commission on a </w:t>
            </w:r>
            <w:r w:rsidRPr="008C20AA">
              <w:rPr>
                <w:rFonts w:ascii="Times New Roman" w:eastAsia="Times New Roman" w:hAnsi="Times New Roman" w:cs="Times New Roman"/>
                <w:color w:val="000000"/>
                <w:kern w:val="0"/>
                <w:sz w:val="27"/>
                <w:szCs w:val="27"/>
                <w:u w:val="single"/>
                <w14:ligatures w14:val="none"/>
              </w:rPr>
              <w:t>monthly</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 semi-annual</w:t>
            </w:r>
            <w:r w:rsidRPr="008C20AA">
              <w:rPr>
                <w:rFonts w:ascii="Times New Roman" w:eastAsia="Times New Roman" w:hAnsi="Times New Roman" w:cs="Times New Roman"/>
                <w:color w:val="000000"/>
                <w:kern w:val="0"/>
                <w:sz w:val="27"/>
                <w:szCs w:val="27"/>
                <w14:ligatures w14:val="none"/>
              </w:rPr>
              <w:t>] basis the following information with respect to each shipment of NCFW that it has received in the previous </w:t>
            </w:r>
            <w:r w:rsidRPr="008C20AA">
              <w:rPr>
                <w:rFonts w:ascii="Times New Roman" w:eastAsia="Times New Roman" w:hAnsi="Times New Roman" w:cs="Times New Roman"/>
                <w:color w:val="000000"/>
                <w:kern w:val="0"/>
                <w:sz w:val="27"/>
                <w:szCs w:val="27"/>
                <w:u w:val="single"/>
                <w14:ligatures w14:val="none"/>
              </w:rPr>
              <w:t>month</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 six-month period</w:t>
            </w:r>
            <w:r w:rsidRPr="008C20AA">
              <w:rPr>
                <w:rFonts w:ascii="Times New Roman" w:eastAsia="Times New Roman" w:hAnsi="Times New Roman" w:cs="Times New Roman"/>
                <w:color w:val="000000"/>
                <w:kern w:val="0"/>
                <w:sz w:val="27"/>
                <w:szCs w:val="27"/>
                <w14:ligatures w14:val="none"/>
              </w:rPr>
              <w:t>]:</w:t>
            </w:r>
          </w:p>
          <w:p w14:paraId="151D5BAF"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(1)</w:t>
            </w:r>
            <w:r w:rsidRPr="008C20AA">
              <w:rPr>
                <w:rFonts w:ascii="Times New Roman" w:eastAsia="Times New Roman" w:hAnsi="Times New Roman" w:cs="Times New Roman"/>
                <w:color w:val="000000"/>
                <w:kern w:val="0"/>
                <w:sz w:val="27"/>
                <w:szCs w:val="27"/>
                <w:u w:val="single"/>
                <w14:ligatures w14:val="none"/>
              </w:rPr>
              <w:t>report</w:t>
            </w:r>
            <w:r w:rsidRPr="008C20AA">
              <w:rPr>
                <w:rFonts w:ascii="Times New Roman" w:eastAsia="Times New Roman" w:hAnsi="Times New Roman" w:cs="Times New Roman"/>
                <w:color w:val="000000"/>
                <w:kern w:val="0"/>
                <w:sz w:val="27"/>
                <w:szCs w:val="27"/>
                <w14:ligatures w14:val="none"/>
              </w:rPr>
              <w:t> the name of the generator;</w:t>
            </w:r>
          </w:p>
          <w:p w14:paraId="22531587"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(2)</w:t>
            </w:r>
            <w:r w:rsidRPr="008C20AA">
              <w:rPr>
                <w:rFonts w:ascii="Times New Roman" w:eastAsia="Times New Roman" w:hAnsi="Times New Roman" w:cs="Times New Roman"/>
                <w:color w:val="000000"/>
                <w:kern w:val="0"/>
                <w:sz w:val="27"/>
                <w:szCs w:val="27"/>
                <w:u w:val="single"/>
                <w14:ligatures w14:val="none"/>
              </w:rPr>
              <w:t>report</w:t>
            </w:r>
            <w:r w:rsidRPr="008C20AA">
              <w:rPr>
                <w:rFonts w:ascii="Times New Roman" w:eastAsia="Times New Roman" w:hAnsi="Times New Roman" w:cs="Times New Roman"/>
                <w:color w:val="000000"/>
                <w:kern w:val="0"/>
                <w:sz w:val="27"/>
                <w:szCs w:val="27"/>
                <w14:ligatures w14:val="none"/>
              </w:rPr>
              <w:t> the name of the unaffiliated state, territory, or low-level waste compact (if any)</w:t>
            </w:r>
            <w:r w:rsidRPr="008C20AA">
              <w:rPr>
                <w:rFonts w:ascii="Times New Roman" w:eastAsia="Times New Roman" w:hAnsi="Times New Roman" w:cs="Times New Roman"/>
                <w:color w:val="000000"/>
                <w:kern w:val="0"/>
                <w:sz w:val="27"/>
                <w:szCs w:val="27"/>
                <w:u w:val="single"/>
                <w14:ligatures w14:val="none"/>
              </w:rPr>
              <w:t>, or foreign country of origin,</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(including State and City),</w:t>
            </w:r>
            <w:r w:rsidRPr="008C20AA">
              <w:rPr>
                <w:rFonts w:ascii="Times New Roman" w:eastAsia="Times New Roman" w:hAnsi="Times New Roman" w:cs="Times New Roman"/>
                <w:color w:val="000000"/>
                <w:kern w:val="0"/>
                <w:sz w:val="27"/>
                <w:szCs w:val="27"/>
                <w14:ligatures w14:val="none"/>
              </w:rPr>
              <w:t>] where the waste originated </w:t>
            </w:r>
            <w:r w:rsidRPr="008C20AA">
              <w:rPr>
                <w:rFonts w:ascii="Times New Roman" w:eastAsia="Times New Roman" w:hAnsi="Times New Roman" w:cs="Times New Roman"/>
                <w:color w:val="000000"/>
                <w:kern w:val="0"/>
                <w:sz w:val="27"/>
                <w:szCs w:val="27"/>
                <w:u w:val="single"/>
                <w14:ligatures w14:val="none"/>
              </w:rPr>
              <w:t>(including State and City)</w:t>
            </w:r>
            <w:r w:rsidRPr="008C20AA">
              <w:rPr>
                <w:rFonts w:ascii="Times New Roman" w:eastAsia="Times New Roman" w:hAnsi="Times New Roman" w:cs="Times New Roman"/>
                <w:color w:val="000000"/>
                <w:kern w:val="0"/>
                <w:sz w:val="27"/>
                <w:szCs w:val="27"/>
                <w14:ligatures w14:val="none"/>
              </w:rPr>
              <w:t>;</w:t>
            </w:r>
          </w:p>
          <w:p w14:paraId="686DA46C"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(3)</w:t>
            </w:r>
            <w:r w:rsidRPr="008C20AA">
              <w:rPr>
                <w:rFonts w:ascii="Times New Roman" w:eastAsia="Times New Roman" w:hAnsi="Times New Roman" w:cs="Times New Roman"/>
                <w:color w:val="000000"/>
                <w:kern w:val="0"/>
                <w:sz w:val="27"/>
                <w:szCs w:val="27"/>
                <w:u w:val="single"/>
                <w14:ligatures w14:val="none"/>
              </w:rPr>
              <w:t>report</w:t>
            </w:r>
            <w:r w:rsidRPr="008C20AA">
              <w:rPr>
                <w:rFonts w:ascii="Times New Roman" w:eastAsia="Times New Roman" w:hAnsi="Times New Roman" w:cs="Times New Roman"/>
                <w:color w:val="000000"/>
                <w:kern w:val="0"/>
                <w:sz w:val="27"/>
                <w:szCs w:val="27"/>
                <w14:ligatures w14:val="none"/>
              </w:rPr>
              <w:t> the activity of the waste in curies;</w:t>
            </w:r>
          </w:p>
          <w:p w14:paraId="5149AEE8"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(4)</w:t>
            </w:r>
            <w:r w:rsidRPr="008C20AA">
              <w:rPr>
                <w:rFonts w:ascii="Times New Roman" w:eastAsia="Times New Roman" w:hAnsi="Times New Roman" w:cs="Times New Roman"/>
                <w:color w:val="000000"/>
                <w:kern w:val="0"/>
                <w:sz w:val="27"/>
                <w:szCs w:val="27"/>
                <w:u w:val="single"/>
                <w14:ligatures w14:val="none"/>
              </w:rPr>
              <w:t>report</w:t>
            </w:r>
            <w:r w:rsidRPr="008C20AA">
              <w:rPr>
                <w:rFonts w:ascii="Times New Roman" w:eastAsia="Times New Roman" w:hAnsi="Times New Roman" w:cs="Times New Roman"/>
                <w:color w:val="000000"/>
                <w:kern w:val="0"/>
                <w:sz w:val="27"/>
                <w:szCs w:val="27"/>
                <w14:ligatures w14:val="none"/>
              </w:rPr>
              <w:t> the gross volume or weight of the waste; the date of receipt; </w:t>
            </w:r>
            <w:r w:rsidRPr="008C20AA">
              <w:rPr>
                <w:rFonts w:ascii="Times New Roman" w:eastAsia="Times New Roman" w:hAnsi="Times New Roman" w:cs="Times New Roman"/>
                <w:color w:val="000000"/>
                <w:kern w:val="0"/>
                <w:sz w:val="27"/>
                <w:szCs w:val="27"/>
                <w:u w:val="single"/>
                <w14:ligatures w14:val="none"/>
              </w:rPr>
              <w:t>the date of processing (if and when this occurs,</w:t>
            </w:r>
            <w:r w:rsidRPr="008C20AA">
              <w:rPr>
                <w:rFonts w:ascii="Times New Roman" w:eastAsia="Times New Roman" w:hAnsi="Times New Roman" w:cs="Times New Roman"/>
                <w:color w:val="000000"/>
                <w:kern w:val="0"/>
                <w:sz w:val="27"/>
                <w:szCs w:val="27"/>
                <w14:ligatures w14:val="none"/>
              </w:rPr>
              <w:t> whether the waste is being stored, processed, </w:t>
            </w:r>
            <w:r w:rsidRPr="008C20AA">
              <w:rPr>
                <w:rFonts w:ascii="Times New Roman" w:eastAsia="Times New Roman" w:hAnsi="Times New Roman" w:cs="Times New Roman"/>
                <w:color w:val="000000"/>
                <w:kern w:val="0"/>
                <w:sz w:val="27"/>
                <w:szCs w:val="27"/>
                <w:u w:val="single"/>
                <w14:ligatures w14:val="none"/>
              </w:rPr>
              <w:t>disposed,</w:t>
            </w:r>
            <w:r w:rsidRPr="008C20AA">
              <w:rPr>
                <w:rFonts w:ascii="Times New Roman" w:eastAsia="Times New Roman" w:hAnsi="Times New Roman" w:cs="Times New Roman"/>
                <w:color w:val="000000"/>
                <w:kern w:val="0"/>
                <w:sz w:val="27"/>
                <w:szCs w:val="27"/>
                <w14:ligatures w14:val="none"/>
              </w:rPr>
              <w:t> or otherwise managed; [</w:t>
            </w:r>
            <w:r w:rsidRPr="008C20AA">
              <w:rPr>
                <w:rFonts w:ascii="Times New Roman" w:eastAsia="Times New Roman" w:hAnsi="Times New Roman" w:cs="Times New Roman"/>
                <w:strike/>
                <w:color w:val="000000"/>
                <w:kern w:val="0"/>
                <w:sz w:val="27"/>
                <w:szCs w:val="27"/>
                <w14:ligatures w14:val="none"/>
              </w:rPr>
              <w:t>provided, however, that waste that has been disposed of in the same reporting period in which it was received shall only report gross volume or weight;</w:t>
            </w:r>
            <w:r w:rsidRPr="008C20AA">
              <w:rPr>
                <w:rFonts w:ascii="Times New Roman" w:eastAsia="Times New Roman" w:hAnsi="Times New Roman" w:cs="Times New Roman"/>
                <w:color w:val="000000"/>
                <w:kern w:val="0"/>
                <w:sz w:val="27"/>
                <w:szCs w:val="27"/>
                <w14:ligatures w14:val="none"/>
              </w:rPr>
              <w:t>] and</w:t>
            </w:r>
          </w:p>
          <w:p w14:paraId="12C7D4CC"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(5)</w:t>
            </w:r>
            <w:r w:rsidRPr="008C20AA">
              <w:rPr>
                <w:rFonts w:ascii="Times New Roman" w:eastAsia="Times New Roman" w:hAnsi="Times New Roman" w:cs="Times New Roman"/>
                <w:color w:val="000000"/>
                <w:kern w:val="0"/>
                <w:sz w:val="27"/>
                <w:szCs w:val="27"/>
                <w:u w:val="single"/>
                <w14:ligatures w14:val="none"/>
              </w:rPr>
              <w:t>report</w:t>
            </w:r>
            <w:r w:rsidRPr="008C20AA">
              <w:rPr>
                <w:rFonts w:ascii="Times New Roman" w:eastAsia="Times New Roman" w:hAnsi="Times New Roman" w:cs="Times New Roman"/>
                <w:color w:val="000000"/>
                <w:kern w:val="0"/>
                <w:sz w:val="27"/>
                <w:szCs w:val="27"/>
                <w14:ligatures w14:val="none"/>
              </w:rPr>
              <w:t> the physical location of management or the date of and physical location of disposal of that waste.</w:t>
            </w:r>
          </w:p>
          <w:p w14:paraId="173B59C6"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(6)make available for review documentation or supporting information to address the requirement for an export agreement from another compact.</w:t>
            </w:r>
          </w:p>
          <w:p w14:paraId="5AEFB53A"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(7)make available for review federal documentation supporting import/export of waste from a foreign country, including import/export under 10 CFR Part 110.</w:t>
            </w:r>
          </w:p>
          <w:p w14:paraId="39086A08"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(e)Waste must be reported each reporting period until the waste has been returned to the generator, sent out of the compact for disposal or additional processing, or disposed of within the Compact;</w:t>
            </w:r>
          </w:p>
          <w:p w14:paraId="12D88755"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lastRenderedPageBreak/>
              <w:t>(f)If a change in material classification occurs for any material in possession of the agreement holder (such as radioactive material being reclassified as LLRW due to processing, recycling, or consolidation or other factors), then that LLRW must be reported during the next reporting period, and subsequent reporting periods;</w:t>
            </w:r>
          </w:p>
          <w:p w14:paraId="17CC73DD"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(g)</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(d)</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Monthly</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Semi-annual </w:t>
            </w:r>
            <w:r w:rsidRPr="008C20AA">
              <w:rPr>
                <w:rFonts w:ascii="Times New Roman" w:eastAsia="Times New Roman" w:hAnsi="Times New Roman" w:cs="Times New Roman"/>
                <w:color w:val="000000"/>
                <w:kern w:val="0"/>
                <w:sz w:val="27"/>
                <w:szCs w:val="27"/>
                <w14:ligatures w14:val="none"/>
              </w:rPr>
              <w:t>] reports must be submitted electronically on forms provided </w:t>
            </w:r>
            <w:r w:rsidRPr="008C20AA">
              <w:rPr>
                <w:rFonts w:ascii="Times New Roman" w:eastAsia="Times New Roman" w:hAnsi="Times New Roman" w:cs="Times New Roman"/>
                <w:color w:val="000000"/>
                <w:kern w:val="0"/>
                <w:sz w:val="27"/>
                <w:szCs w:val="27"/>
                <w:u w:val="single"/>
                <w14:ligatures w14:val="none"/>
              </w:rPr>
              <w:t>or approved</w:t>
            </w:r>
            <w:r w:rsidRPr="008C20AA">
              <w:rPr>
                <w:rFonts w:ascii="Times New Roman" w:eastAsia="Times New Roman" w:hAnsi="Times New Roman" w:cs="Times New Roman"/>
                <w:color w:val="000000"/>
                <w:kern w:val="0"/>
                <w:sz w:val="27"/>
                <w:szCs w:val="27"/>
                <w14:ligatures w14:val="none"/>
              </w:rPr>
              <w:t> by the Commission and must be </w:t>
            </w:r>
            <w:r w:rsidRPr="008C20AA">
              <w:rPr>
                <w:rFonts w:ascii="Times New Roman" w:eastAsia="Times New Roman" w:hAnsi="Times New Roman" w:cs="Times New Roman"/>
                <w:color w:val="000000"/>
                <w:kern w:val="0"/>
                <w:sz w:val="27"/>
                <w:szCs w:val="27"/>
                <w:u w:val="single"/>
                <w14:ligatures w14:val="none"/>
              </w:rPr>
              <w:t>received</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submitted </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 xml:space="preserve">on </w:t>
            </w:r>
            <w:proofErr w:type="spellStart"/>
            <w:r w:rsidRPr="008C20AA">
              <w:rPr>
                <w:rFonts w:ascii="Times New Roman" w:eastAsia="Times New Roman" w:hAnsi="Times New Roman" w:cs="Times New Roman"/>
                <w:color w:val="000000"/>
                <w:kern w:val="0"/>
                <w:sz w:val="27"/>
                <w:szCs w:val="27"/>
                <w:u w:val="single"/>
                <w14:ligatures w14:val="none"/>
              </w:rPr>
              <w:t>or</w:t>
            </w:r>
            <w:r w:rsidRPr="008C20AA">
              <w:rPr>
                <w:rFonts w:ascii="Times New Roman" w:eastAsia="Times New Roman" w:hAnsi="Times New Roman" w:cs="Times New Roman"/>
                <w:color w:val="000000"/>
                <w:kern w:val="0"/>
                <w:sz w:val="27"/>
                <w:szCs w:val="27"/>
                <w14:ligatures w14:val="none"/>
              </w:rPr>
              <w:t>before</w:t>
            </w:r>
            <w:proofErr w:type="spellEnd"/>
            <w:r w:rsidRPr="008C20AA">
              <w:rPr>
                <w:rFonts w:ascii="Times New Roman" w:eastAsia="Times New Roman" w:hAnsi="Times New Roman" w:cs="Times New Roman"/>
                <w:color w:val="000000"/>
                <w:kern w:val="0"/>
                <w:sz w:val="27"/>
                <w:szCs w:val="27"/>
                <w14:ligatures w14:val="none"/>
              </w:rPr>
              <w:t xml:space="preserve"> the </w:t>
            </w:r>
            <w:r w:rsidRPr="008C20AA">
              <w:rPr>
                <w:rFonts w:ascii="Times New Roman" w:eastAsia="Times New Roman" w:hAnsi="Times New Roman" w:cs="Times New Roman"/>
                <w:color w:val="000000"/>
                <w:kern w:val="0"/>
                <w:sz w:val="27"/>
                <w:szCs w:val="27"/>
                <w:u w:val="single"/>
                <w14:ligatures w14:val="none"/>
              </w:rPr>
              <w:t>15th</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31st</w:t>
            </w:r>
            <w:r w:rsidRPr="008C20AA">
              <w:rPr>
                <w:rFonts w:ascii="Times New Roman" w:eastAsia="Times New Roman" w:hAnsi="Times New Roman" w:cs="Times New Roman"/>
                <w:color w:val="000000"/>
                <w:kern w:val="0"/>
                <w:sz w:val="27"/>
                <w:szCs w:val="27"/>
                <w14:ligatures w14:val="none"/>
              </w:rPr>
              <w:t>] day </w:t>
            </w:r>
            <w:r w:rsidRPr="008C20AA">
              <w:rPr>
                <w:rFonts w:ascii="Times New Roman" w:eastAsia="Times New Roman" w:hAnsi="Times New Roman" w:cs="Times New Roman"/>
                <w:color w:val="000000"/>
                <w:kern w:val="0"/>
                <w:sz w:val="27"/>
                <w:szCs w:val="27"/>
                <w:u w:val="single"/>
                <w14:ligatures w14:val="none"/>
              </w:rPr>
              <w:t>of the month</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after the end of each six-month period of the Commission's fiscal year, which begins on September 1 and ends on August 31</w:t>
            </w:r>
            <w:r w:rsidRPr="008C20AA">
              <w:rPr>
                <w:rFonts w:ascii="Times New Roman" w:eastAsia="Times New Roman" w:hAnsi="Times New Roman" w:cs="Times New Roman"/>
                <w:color w:val="000000"/>
                <w:kern w:val="0"/>
                <w:sz w:val="27"/>
                <w:szCs w:val="27"/>
                <w14:ligatures w14:val="none"/>
              </w:rPr>
              <w:t>]. An entity may file its </w:t>
            </w:r>
            <w:r w:rsidRPr="008C20AA">
              <w:rPr>
                <w:rFonts w:ascii="Times New Roman" w:eastAsia="Times New Roman" w:hAnsi="Times New Roman" w:cs="Times New Roman"/>
                <w:color w:val="000000"/>
                <w:kern w:val="0"/>
                <w:sz w:val="27"/>
                <w:szCs w:val="27"/>
                <w:u w:val="single"/>
                <w14:ligatures w14:val="none"/>
              </w:rPr>
              <w:t>monthly</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 semi-annual</w:t>
            </w:r>
            <w:r w:rsidRPr="008C20AA">
              <w:rPr>
                <w:rFonts w:ascii="Times New Roman" w:eastAsia="Times New Roman" w:hAnsi="Times New Roman" w:cs="Times New Roman"/>
                <w:color w:val="000000"/>
                <w:kern w:val="0"/>
                <w:sz w:val="27"/>
                <w:szCs w:val="27"/>
                <w14:ligatures w14:val="none"/>
              </w:rPr>
              <w:t>] report on its own form if the Commission has provided its prior written authorization for the form submitted. </w:t>
            </w:r>
            <w:r w:rsidRPr="008C20AA">
              <w:rPr>
                <w:rFonts w:ascii="Times New Roman" w:eastAsia="Times New Roman" w:hAnsi="Times New Roman" w:cs="Times New Roman"/>
                <w:color w:val="000000"/>
                <w:kern w:val="0"/>
                <w:sz w:val="27"/>
                <w:szCs w:val="27"/>
                <w:u w:val="single"/>
                <w14:ligatures w14:val="none"/>
              </w:rPr>
              <w:t>The report shall only contain information concerning NCFW as defined in this section.</w:t>
            </w:r>
          </w:p>
          <w:p w14:paraId="1985B0AA"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(h)</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(e)</w:t>
            </w:r>
            <w:r w:rsidRPr="008C20AA">
              <w:rPr>
                <w:rFonts w:ascii="Times New Roman" w:eastAsia="Times New Roman" w:hAnsi="Times New Roman" w:cs="Times New Roman"/>
                <w:color w:val="000000"/>
                <w:kern w:val="0"/>
                <w:sz w:val="27"/>
                <w:szCs w:val="27"/>
                <w14:ligatures w14:val="none"/>
              </w:rPr>
              <w:t>] An entity that imports [</w:t>
            </w:r>
            <w:r w:rsidRPr="008C20AA">
              <w:rPr>
                <w:rFonts w:ascii="Times New Roman" w:eastAsia="Times New Roman" w:hAnsi="Times New Roman" w:cs="Times New Roman"/>
                <w:strike/>
                <w:color w:val="000000"/>
                <w:kern w:val="0"/>
                <w:sz w:val="27"/>
                <w:szCs w:val="27"/>
                <w14:ligatures w14:val="none"/>
              </w:rPr>
              <w:t>low-level radioactive waste into the host state as described in subsection (c) of this section shall</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 xml:space="preserve">NCFW into the host state </w:t>
            </w:r>
            <w:proofErr w:type="gramStart"/>
            <w:r w:rsidRPr="008C20AA">
              <w:rPr>
                <w:rFonts w:ascii="Times New Roman" w:eastAsia="Times New Roman" w:hAnsi="Times New Roman" w:cs="Times New Roman"/>
                <w:color w:val="000000"/>
                <w:kern w:val="0"/>
                <w:sz w:val="27"/>
                <w:szCs w:val="27"/>
                <w:u w:val="single"/>
                <w14:ligatures w14:val="none"/>
              </w:rPr>
              <w:t>must</w:t>
            </w:r>
            <w:r w:rsidRPr="008C20AA">
              <w:rPr>
                <w:rFonts w:ascii="Times New Roman" w:eastAsia="Times New Roman" w:hAnsi="Times New Roman" w:cs="Times New Roman"/>
                <w:color w:val="000000"/>
                <w:kern w:val="0"/>
                <w:sz w:val="27"/>
                <w:szCs w:val="27"/>
                <w14:ligatures w14:val="none"/>
              </w:rPr>
              <w:t> shall</w:t>
            </w:r>
            <w:proofErr w:type="gramEnd"/>
            <w:r w:rsidRPr="008C20AA">
              <w:rPr>
                <w:rFonts w:ascii="Times New Roman" w:eastAsia="Times New Roman" w:hAnsi="Times New Roman" w:cs="Times New Roman"/>
                <w:color w:val="000000"/>
                <w:kern w:val="0"/>
                <w:sz w:val="27"/>
                <w:szCs w:val="27"/>
                <w14:ligatures w14:val="none"/>
              </w:rPr>
              <w:t xml:space="preserve"> have entered into an agreement with the Commission within 90 days after the effective date of this section or within such time extensions thereafter as the Commission may allow. [</w:t>
            </w:r>
            <w:r w:rsidRPr="008C20AA">
              <w:rPr>
                <w:rFonts w:ascii="Times New Roman" w:eastAsia="Times New Roman" w:hAnsi="Times New Roman" w:cs="Times New Roman"/>
                <w:strike/>
                <w:color w:val="000000"/>
                <w:kern w:val="0"/>
                <w:sz w:val="27"/>
                <w:szCs w:val="27"/>
                <w14:ligatures w14:val="none"/>
              </w:rPr>
              <w:t>New entrants that import waste into the host state as described in subsection (c) of this section.</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color w:val="000000"/>
                <w:kern w:val="0"/>
                <w:sz w:val="27"/>
                <w:szCs w:val="27"/>
                <w:u w:val="single"/>
                <w14:ligatures w14:val="none"/>
              </w:rPr>
              <w:t>Entities formed after the effective date of this rule or that apply to import waste into the host state </w:t>
            </w:r>
            <w:r w:rsidRPr="008C20AA">
              <w:rPr>
                <w:rFonts w:ascii="Times New Roman" w:eastAsia="Times New Roman" w:hAnsi="Times New Roman" w:cs="Times New Roman"/>
                <w:color w:val="000000"/>
                <w:kern w:val="0"/>
                <w:sz w:val="27"/>
                <w:szCs w:val="27"/>
                <w14:ligatures w14:val="none"/>
              </w:rPr>
              <w:t>must enter into an </w:t>
            </w:r>
            <w:r w:rsidRPr="008C20AA">
              <w:rPr>
                <w:rFonts w:ascii="Times New Roman" w:eastAsia="Times New Roman" w:hAnsi="Times New Roman" w:cs="Times New Roman"/>
                <w:color w:val="000000"/>
                <w:kern w:val="0"/>
                <w:sz w:val="27"/>
                <w:szCs w:val="27"/>
                <w:u w:val="single"/>
                <w14:ligatures w14:val="none"/>
              </w:rPr>
              <w:t>NCFW</w:t>
            </w:r>
            <w:r w:rsidRPr="008C20AA">
              <w:rPr>
                <w:rFonts w:ascii="Times New Roman" w:eastAsia="Times New Roman" w:hAnsi="Times New Roman" w:cs="Times New Roman"/>
                <w:color w:val="000000"/>
                <w:kern w:val="0"/>
                <w:sz w:val="27"/>
                <w:szCs w:val="27"/>
                <w14:ligatures w14:val="none"/>
              </w:rPr>
              <w:t> agreement with the Commission within 30 days of commencement of management operations </w:t>
            </w:r>
            <w:r w:rsidRPr="008C20AA">
              <w:rPr>
                <w:rFonts w:ascii="Times New Roman" w:eastAsia="Times New Roman" w:hAnsi="Times New Roman" w:cs="Times New Roman"/>
                <w:color w:val="000000"/>
                <w:kern w:val="0"/>
                <w:sz w:val="27"/>
                <w:szCs w:val="27"/>
                <w:u w:val="single"/>
                <w14:ligatures w14:val="none"/>
              </w:rPr>
              <w:t>and prior to importing NCFW</w:t>
            </w:r>
            <w:r w:rsidRPr="008C20AA">
              <w:rPr>
                <w:rFonts w:ascii="Times New Roman" w:eastAsia="Times New Roman" w:hAnsi="Times New Roman" w:cs="Times New Roman"/>
                <w:color w:val="000000"/>
                <w:kern w:val="0"/>
                <w:sz w:val="27"/>
                <w:szCs w:val="27"/>
                <w14:ligatures w14:val="none"/>
              </w:rPr>
              <w:t>. To the maximum extent possible, each agreement entered into under this section will contain provisions identical to those in each other agreement entered into under this section.</w:t>
            </w:r>
          </w:p>
          <w:p w14:paraId="38D73942"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w:t>
            </w:r>
            <w:proofErr w:type="spellStart"/>
            <w:r w:rsidRPr="008C20AA">
              <w:rPr>
                <w:rFonts w:ascii="Times New Roman" w:eastAsia="Times New Roman" w:hAnsi="Times New Roman" w:cs="Times New Roman"/>
                <w:color w:val="000000"/>
                <w:kern w:val="0"/>
                <w:sz w:val="27"/>
                <w:szCs w:val="27"/>
                <w:u w:val="single"/>
                <w14:ligatures w14:val="none"/>
              </w:rPr>
              <w:t>i</w:t>
            </w:r>
            <w:proofErr w:type="spellEnd"/>
            <w:r w:rsidRPr="008C20AA">
              <w:rPr>
                <w:rFonts w:ascii="Times New Roman" w:eastAsia="Times New Roman" w:hAnsi="Times New Roman" w:cs="Times New Roman"/>
                <w:color w:val="000000"/>
                <w:kern w:val="0"/>
                <w:sz w:val="27"/>
                <w:szCs w:val="27"/>
                <w:u w:val="single"/>
                <w14:ligatures w14:val="none"/>
              </w:rPr>
              <w:t>)</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(f)</w:t>
            </w:r>
            <w:r w:rsidRPr="008C20AA">
              <w:rPr>
                <w:rFonts w:ascii="Times New Roman" w:eastAsia="Times New Roman" w:hAnsi="Times New Roman" w:cs="Times New Roman"/>
                <w:color w:val="000000"/>
                <w:kern w:val="0"/>
                <w:sz w:val="27"/>
                <w:szCs w:val="27"/>
                <w14:ligatures w14:val="none"/>
              </w:rPr>
              <w:t>] An entity that imports </w:t>
            </w:r>
            <w:r w:rsidRPr="008C20AA">
              <w:rPr>
                <w:rFonts w:ascii="Times New Roman" w:eastAsia="Times New Roman" w:hAnsi="Times New Roman" w:cs="Times New Roman"/>
                <w:color w:val="000000"/>
                <w:kern w:val="0"/>
                <w:sz w:val="27"/>
                <w:szCs w:val="27"/>
                <w:u w:val="single"/>
                <w14:ligatures w14:val="none"/>
              </w:rPr>
              <w:t>NCFW</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waste</w:t>
            </w:r>
            <w:r w:rsidRPr="008C20AA">
              <w:rPr>
                <w:rFonts w:ascii="Times New Roman" w:eastAsia="Times New Roman" w:hAnsi="Times New Roman" w:cs="Times New Roman"/>
                <w:color w:val="000000"/>
                <w:kern w:val="0"/>
                <w:sz w:val="27"/>
                <w:szCs w:val="27"/>
                <w14:ligatures w14:val="none"/>
              </w:rPr>
              <w:t>] into the host state [</w:t>
            </w:r>
            <w:r w:rsidRPr="008C20AA">
              <w:rPr>
                <w:rFonts w:ascii="Times New Roman" w:eastAsia="Times New Roman" w:hAnsi="Times New Roman" w:cs="Times New Roman"/>
                <w:strike/>
                <w:color w:val="000000"/>
                <w:kern w:val="0"/>
                <w:sz w:val="27"/>
                <w:szCs w:val="27"/>
                <w14:ligatures w14:val="none"/>
              </w:rPr>
              <w:t>as described in subsection (c) of this section</w:t>
            </w:r>
            <w:r w:rsidRPr="008C20AA">
              <w:rPr>
                <w:rFonts w:ascii="Times New Roman" w:eastAsia="Times New Roman" w:hAnsi="Times New Roman" w:cs="Times New Roman"/>
                <w:color w:val="000000"/>
                <w:kern w:val="0"/>
                <w:sz w:val="27"/>
                <w:szCs w:val="27"/>
                <w14:ligatures w14:val="none"/>
              </w:rPr>
              <w:t>] shall submit an application for entry into an agreement with the Commission electronically or on </w:t>
            </w:r>
            <w:r w:rsidRPr="008C20AA">
              <w:rPr>
                <w:rFonts w:ascii="Times New Roman" w:eastAsia="Times New Roman" w:hAnsi="Times New Roman" w:cs="Times New Roman"/>
                <w:color w:val="000000"/>
                <w:kern w:val="0"/>
                <w:sz w:val="27"/>
                <w:szCs w:val="27"/>
                <w:u w:val="single"/>
                <w14:ligatures w14:val="none"/>
              </w:rPr>
              <w:t>a</w:t>
            </w:r>
            <w:r w:rsidRPr="008C20AA">
              <w:rPr>
                <w:rFonts w:ascii="Times New Roman" w:eastAsia="Times New Roman" w:hAnsi="Times New Roman" w:cs="Times New Roman"/>
                <w:color w:val="000000"/>
                <w:kern w:val="0"/>
                <w:sz w:val="27"/>
                <w:szCs w:val="27"/>
                <w14:ligatures w14:val="none"/>
              </w:rPr>
              <w:t> paper [</w:t>
            </w:r>
            <w:r w:rsidRPr="008C20AA">
              <w:rPr>
                <w:rFonts w:ascii="Times New Roman" w:eastAsia="Times New Roman" w:hAnsi="Times New Roman" w:cs="Times New Roman"/>
                <w:strike/>
                <w:color w:val="000000"/>
                <w:kern w:val="0"/>
                <w:sz w:val="27"/>
                <w:szCs w:val="27"/>
                <w14:ligatures w14:val="none"/>
              </w:rPr>
              <w:t>on a</w:t>
            </w:r>
            <w:r w:rsidRPr="008C20AA">
              <w:rPr>
                <w:rFonts w:ascii="Times New Roman" w:eastAsia="Times New Roman" w:hAnsi="Times New Roman" w:cs="Times New Roman"/>
                <w:color w:val="000000"/>
                <w:kern w:val="0"/>
                <w:sz w:val="27"/>
                <w:szCs w:val="27"/>
                <w14:ligatures w14:val="none"/>
              </w:rPr>
              <w:t>] form </w:t>
            </w:r>
            <w:r w:rsidRPr="008C20AA">
              <w:rPr>
                <w:rFonts w:ascii="Times New Roman" w:eastAsia="Times New Roman" w:hAnsi="Times New Roman" w:cs="Times New Roman"/>
                <w:color w:val="000000"/>
                <w:kern w:val="0"/>
                <w:sz w:val="27"/>
                <w:szCs w:val="27"/>
                <w:u w:val="single"/>
                <w14:ligatures w14:val="none"/>
              </w:rPr>
              <w:t>authorized</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 provided</w:t>
            </w:r>
            <w:r w:rsidRPr="008C20AA">
              <w:rPr>
                <w:rFonts w:ascii="Times New Roman" w:eastAsia="Times New Roman" w:hAnsi="Times New Roman" w:cs="Times New Roman"/>
                <w:color w:val="000000"/>
                <w:kern w:val="0"/>
                <w:sz w:val="27"/>
                <w:szCs w:val="27"/>
                <w14:ligatures w14:val="none"/>
              </w:rPr>
              <w:t>] by the Commission.</w:t>
            </w:r>
          </w:p>
          <w:p w14:paraId="33BC681A"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(j)</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(g)</w:t>
            </w:r>
            <w:r w:rsidRPr="008C20AA">
              <w:rPr>
                <w:rFonts w:ascii="Times New Roman" w:eastAsia="Times New Roman" w:hAnsi="Times New Roman" w:cs="Times New Roman"/>
                <w:color w:val="000000"/>
                <w:kern w:val="0"/>
                <w:sz w:val="27"/>
                <w:szCs w:val="27"/>
                <w14:ligatures w14:val="none"/>
              </w:rPr>
              <w:t>] Failure on the part of an entity that imports </w:t>
            </w:r>
            <w:r w:rsidRPr="008C20AA">
              <w:rPr>
                <w:rFonts w:ascii="Times New Roman" w:eastAsia="Times New Roman" w:hAnsi="Times New Roman" w:cs="Times New Roman"/>
                <w:color w:val="000000"/>
                <w:kern w:val="0"/>
                <w:sz w:val="27"/>
                <w:szCs w:val="27"/>
                <w:u w:val="single"/>
                <w14:ligatures w14:val="none"/>
              </w:rPr>
              <w:t>NCFW</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waste</w:t>
            </w:r>
            <w:r w:rsidRPr="008C20AA">
              <w:rPr>
                <w:rFonts w:ascii="Times New Roman" w:eastAsia="Times New Roman" w:hAnsi="Times New Roman" w:cs="Times New Roman"/>
                <w:color w:val="000000"/>
                <w:kern w:val="0"/>
                <w:sz w:val="27"/>
                <w:szCs w:val="27"/>
                <w14:ligatures w14:val="none"/>
              </w:rPr>
              <w:t>] into the host state as described in subsection </w:t>
            </w:r>
            <w:r w:rsidRPr="008C20AA">
              <w:rPr>
                <w:rFonts w:ascii="Times New Roman" w:eastAsia="Times New Roman" w:hAnsi="Times New Roman" w:cs="Times New Roman"/>
                <w:color w:val="000000"/>
                <w:kern w:val="0"/>
                <w:sz w:val="27"/>
                <w:szCs w:val="27"/>
                <w:u w:val="single"/>
                <w14:ligatures w14:val="none"/>
              </w:rPr>
              <w:t>(d)</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(e)</w:t>
            </w:r>
            <w:r w:rsidRPr="008C20AA">
              <w:rPr>
                <w:rFonts w:ascii="Times New Roman" w:eastAsia="Times New Roman" w:hAnsi="Times New Roman" w:cs="Times New Roman"/>
                <w:color w:val="000000"/>
                <w:kern w:val="0"/>
                <w:sz w:val="27"/>
                <w:szCs w:val="27"/>
                <w14:ligatures w14:val="none"/>
              </w:rPr>
              <w:t>] of this section to comply with any provision of this section or the agreement entered into pursuant to subsection </w:t>
            </w:r>
            <w:r w:rsidRPr="008C20AA">
              <w:rPr>
                <w:rFonts w:ascii="Times New Roman" w:eastAsia="Times New Roman" w:hAnsi="Times New Roman" w:cs="Times New Roman"/>
                <w:color w:val="000000"/>
                <w:kern w:val="0"/>
                <w:sz w:val="27"/>
                <w:szCs w:val="27"/>
                <w:u w:val="single"/>
                <w14:ligatures w14:val="none"/>
              </w:rPr>
              <w:t>(</w:t>
            </w:r>
            <w:proofErr w:type="spellStart"/>
            <w:r w:rsidRPr="008C20AA">
              <w:rPr>
                <w:rFonts w:ascii="Times New Roman" w:eastAsia="Times New Roman" w:hAnsi="Times New Roman" w:cs="Times New Roman"/>
                <w:color w:val="000000"/>
                <w:kern w:val="0"/>
                <w:sz w:val="27"/>
                <w:szCs w:val="27"/>
                <w:u w:val="single"/>
                <w14:ligatures w14:val="none"/>
              </w:rPr>
              <w:t>i</w:t>
            </w:r>
            <w:proofErr w:type="spellEnd"/>
            <w:r w:rsidRPr="008C20AA">
              <w:rPr>
                <w:rFonts w:ascii="Times New Roman" w:eastAsia="Times New Roman" w:hAnsi="Times New Roman" w:cs="Times New Roman"/>
                <w:color w:val="000000"/>
                <w:kern w:val="0"/>
                <w:sz w:val="27"/>
                <w:szCs w:val="27"/>
                <w:u w:val="single"/>
                <w14:ligatures w14:val="none"/>
              </w:rPr>
              <w:t>)</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(d)</w:t>
            </w:r>
            <w:r w:rsidRPr="008C20AA">
              <w:rPr>
                <w:rFonts w:ascii="Times New Roman" w:eastAsia="Times New Roman" w:hAnsi="Times New Roman" w:cs="Times New Roman"/>
                <w:color w:val="000000"/>
                <w:kern w:val="0"/>
                <w:sz w:val="27"/>
                <w:szCs w:val="27"/>
                <w14:ligatures w14:val="none"/>
              </w:rPr>
              <w:t>] of this section may result in the Commission reporting such failures to the [</w:t>
            </w:r>
            <w:r w:rsidRPr="008C20AA">
              <w:rPr>
                <w:rFonts w:ascii="Times New Roman" w:eastAsia="Times New Roman" w:hAnsi="Times New Roman" w:cs="Times New Roman"/>
                <w:strike/>
                <w:color w:val="000000"/>
                <w:kern w:val="0"/>
                <w:sz w:val="27"/>
                <w:szCs w:val="27"/>
                <w14:ligatures w14:val="none"/>
              </w:rPr>
              <w:t>host</w:t>
            </w:r>
            <w:r w:rsidRPr="008C20AA">
              <w:rPr>
                <w:rFonts w:ascii="Times New Roman" w:eastAsia="Times New Roman" w:hAnsi="Times New Roman" w:cs="Times New Roman"/>
                <w:color w:val="000000"/>
                <w:kern w:val="0"/>
                <w:sz w:val="27"/>
                <w:szCs w:val="27"/>
                <w14:ligatures w14:val="none"/>
              </w:rPr>
              <w:t>] state </w:t>
            </w:r>
            <w:r w:rsidRPr="008C20AA">
              <w:rPr>
                <w:rFonts w:ascii="Times New Roman" w:eastAsia="Times New Roman" w:hAnsi="Times New Roman" w:cs="Times New Roman"/>
                <w:color w:val="000000"/>
                <w:kern w:val="0"/>
                <w:sz w:val="27"/>
                <w:szCs w:val="27"/>
                <w:u w:val="single"/>
                <w14:ligatures w14:val="none"/>
              </w:rPr>
              <w:t>or federal</w:t>
            </w:r>
            <w:r w:rsidRPr="008C20AA">
              <w:rPr>
                <w:rFonts w:ascii="Times New Roman" w:eastAsia="Times New Roman" w:hAnsi="Times New Roman" w:cs="Times New Roman"/>
                <w:color w:val="000000"/>
                <w:kern w:val="0"/>
                <w:sz w:val="27"/>
                <w:szCs w:val="27"/>
                <w14:ligatures w14:val="none"/>
              </w:rPr>
              <w:t> agency that has licensed, permitted, or otherwise authorized the operation of such entities.</w:t>
            </w:r>
          </w:p>
          <w:p w14:paraId="5DF28017"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u w:val="single"/>
                <w14:ligatures w14:val="none"/>
              </w:rPr>
              <w:t>(k)</w:t>
            </w:r>
            <w:r w:rsidRPr="008C20AA">
              <w:rPr>
                <w:rFonts w:ascii="Times New Roman" w:eastAsia="Times New Roman" w:hAnsi="Times New Roman" w:cs="Times New Roman"/>
                <w:color w:val="000000"/>
                <w:kern w:val="0"/>
                <w:sz w:val="27"/>
                <w:szCs w:val="27"/>
                <w14:ligatures w14:val="none"/>
              </w:rPr>
              <w:t>[</w:t>
            </w:r>
            <w:r w:rsidRPr="008C20AA">
              <w:rPr>
                <w:rFonts w:ascii="Times New Roman" w:eastAsia="Times New Roman" w:hAnsi="Times New Roman" w:cs="Times New Roman"/>
                <w:strike/>
                <w:color w:val="000000"/>
                <w:kern w:val="0"/>
                <w:sz w:val="27"/>
                <w:szCs w:val="27"/>
                <w14:ligatures w14:val="none"/>
              </w:rPr>
              <w:t>(h)</w:t>
            </w:r>
            <w:r w:rsidRPr="008C20AA">
              <w:rPr>
                <w:rFonts w:ascii="Times New Roman" w:eastAsia="Times New Roman" w:hAnsi="Times New Roman" w:cs="Times New Roman"/>
                <w:color w:val="000000"/>
                <w:kern w:val="0"/>
                <w:sz w:val="27"/>
                <w:szCs w:val="27"/>
                <w14:ligatures w14:val="none"/>
              </w:rPr>
              <w:t>] The Commission may </w:t>
            </w:r>
            <w:r w:rsidRPr="008C20AA">
              <w:rPr>
                <w:rFonts w:ascii="Times New Roman" w:eastAsia="Times New Roman" w:hAnsi="Times New Roman" w:cs="Times New Roman"/>
                <w:color w:val="000000"/>
                <w:kern w:val="0"/>
                <w:sz w:val="27"/>
                <w:szCs w:val="27"/>
                <w:u w:val="single"/>
                <w14:ligatures w14:val="none"/>
              </w:rPr>
              <w:t>unilaterally </w:t>
            </w:r>
            <w:r w:rsidRPr="008C20AA">
              <w:rPr>
                <w:rFonts w:ascii="Times New Roman" w:eastAsia="Times New Roman" w:hAnsi="Times New Roman" w:cs="Times New Roman"/>
                <w:color w:val="000000"/>
                <w:kern w:val="0"/>
                <w:sz w:val="27"/>
                <w:szCs w:val="27"/>
                <w14:ligatures w14:val="none"/>
              </w:rPr>
              <w:t>revoke or amend an </w:t>
            </w:r>
            <w:r w:rsidRPr="008C20AA">
              <w:rPr>
                <w:rFonts w:ascii="Times New Roman" w:eastAsia="Times New Roman" w:hAnsi="Times New Roman" w:cs="Times New Roman"/>
                <w:color w:val="000000"/>
                <w:kern w:val="0"/>
                <w:sz w:val="27"/>
                <w:szCs w:val="27"/>
                <w:u w:val="single"/>
                <w14:ligatures w14:val="none"/>
              </w:rPr>
              <w:t>NCFW</w:t>
            </w:r>
            <w:r w:rsidRPr="008C20AA">
              <w:rPr>
                <w:rFonts w:ascii="Times New Roman" w:eastAsia="Times New Roman" w:hAnsi="Times New Roman" w:cs="Times New Roman"/>
                <w:color w:val="000000"/>
                <w:kern w:val="0"/>
                <w:sz w:val="27"/>
                <w:szCs w:val="27"/>
                <w14:ligatures w14:val="none"/>
              </w:rPr>
              <w:t> agreement [</w:t>
            </w:r>
            <w:r w:rsidRPr="008C20AA">
              <w:rPr>
                <w:rFonts w:ascii="Times New Roman" w:eastAsia="Times New Roman" w:hAnsi="Times New Roman" w:cs="Times New Roman"/>
                <w:strike/>
                <w:color w:val="000000"/>
                <w:kern w:val="0"/>
                <w:sz w:val="27"/>
                <w:szCs w:val="27"/>
                <w14:ligatures w14:val="none"/>
              </w:rPr>
              <w:t>on its own motion or in response to an application by the agreement holder</w:t>
            </w:r>
            <w:r w:rsidRPr="008C20AA">
              <w:rPr>
                <w:rFonts w:ascii="Times New Roman" w:eastAsia="Times New Roman" w:hAnsi="Times New Roman" w:cs="Times New Roman"/>
                <w:color w:val="000000"/>
                <w:kern w:val="0"/>
                <w:sz w:val="27"/>
                <w:szCs w:val="27"/>
                <w14:ligatures w14:val="none"/>
              </w:rPr>
              <w:t>]. When the Commission amends an NCFW agreement [</w:t>
            </w:r>
            <w:r w:rsidRPr="008C20AA">
              <w:rPr>
                <w:rFonts w:ascii="Times New Roman" w:eastAsia="Times New Roman" w:hAnsi="Times New Roman" w:cs="Times New Roman"/>
                <w:strike/>
                <w:color w:val="000000"/>
                <w:kern w:val="0"/>
                <w:sz w:val="27"/>
                <w:szCs w:val="27"/>
                <w14:ligatures w14:val="none"/>
              </w:rPr>
              <w:t>on its own motion</w:t>
            </w:r>
            <w:r w:rsidRPr="008C20AA">
              <w:rPr>
                <w:rFonts w:ascii="Times New Roman" w:eastAsia="Times New Roman" w:hAnsi="Times New Roman" w:cs="Times New Roman"/>
                <w:color w:val="000000"/>
                <w:kern w:val="0"/>
                <w:sz w:val="27"/>
                <w:szCs w:val="27"/>
                <w14:ligatures w14:val="none"/>
              </w:rPr>
              <w:t>], it may provide a reasonable time to allow the </w:t>
            </w:r>
            <w:r w:rsidRPr="008C20AA">
              <w:rPr>
                <w:rFonts w:ascii="Times New Roman" w:eastAsia="Times New Roman" w:hAnsi="Times New Roman" w:cs="Times New Roman"/>
                <w:color w:val="000000"/>
                <w:kern w:val="0"/>
                <w:sz w:val="27"/>
                <w:szCs w:val="27"/>
                <w:u w:val="single"/>
                <w14:ligatures w14:val="none"/>
              </w:rPr>
              <w:t>other party to the</w:t>
            </w:r>
            <w:r w:rsidRPr="008C20AA">
              <w:rPr>
                <w:rFonts w:ascii="Times New Roman" w:eastAsia="Times New Roman" w:hAnsi="Times New Roman" w:cs="Times New Roman"/>
                <w:color w:val="000000"/>
                <w:kern w:val="0"/>
                <w:sz w:val="27"/>
                <w:szCs w:val="27"/>
                <w14:ligatures w14:val="none"/>
              </w:rPr>
              <w:t> agreement [</w:t>
            </w:r>
            <w:r w:rsidRPr="008C20AA">
              <w:rPr>
                <w:rFonts w:ascii="Times New Roman" w:eastAsia="Times New Roman" w:hAnsi="Times New Roman" w:cs="Times New Roman"/>
                <w:strike/>
                <w:color w:val="000000"/>
                <w:kern w:val="0"/>
                <w:sz w:val="27"/>
                <w:szCs w:val="27"/>
                <w14:ligatures w14:val="none"/>
              </w:rPr>
              <w:t>holder</w:t>
            </w:r>
            <w:r w:rsidRPr="008C20AA">
              <w:rPr>
                <w:rFonts w:ascii="Times New Roman" w:eastAsia="Times New Roman" w:hAnsi="Times New Roman" w:cs="Times New Roman"/>
                <w:color w:val="000000"/>
                <w:kern w:val="0"/>
                <w:sz w:val="27"/>
                <w:szCs w:val="27"/>
                <w14:ligatures w14:val="none"/>
              </w:rPr>
              <w:t>] to make the changes necessary to comply with any additional requirements imposed by the Commission. No importation of NCFW shall be allowed under </w:t>
            </w:r>
            <w:r w:rsidRPr="008C20AA">
              <w:rPr>
                <w:rFonts w:ascii="Times New Roman" w:eastAsia="Times New Roman" w:hAnsi="Times New Roman" w:cs="Times New Roman"/>
                <w:color w:val="000000"/>
                <w:kern w:val="0"/>
                <w:sz w:val="27"/>
                <w:szCs w:val="27"/>
                <w:u w:val="single"/>
                <w14:ligatures w14:val="none"/>
              </w:rPr>
              <w:t>an NCFW</w:t>
            </w:r>
            <w:r w:rsidRPr="008C20AA">
              <w:rPr>
                <w:rFonts w:ascii="Times New Roman" w:eastAsia="Times New Roman" w:hAnsi="Times New Roman" w:cs="Times New Roman"/>
                <w:color w:val="000000"/>
                <w:kern w:val="0"/>
                <w:sz w:val="27"/>
                <w:szCs w:val="27"/>
                <w14:ligatures w14:val="none"/>
              </w:rPr>
              <w:t> [</w:t>
            </w:r>
            <w:r w:rsidRPr="008C20AA">
              <w:rPr>
                <w:rFonts w:ascii="Times New Roman" w:eastAsia="Times New Roman" w:hAnsi="Times New Roman" w:cs="Times New Roman"/>
                <w:strike/>
                <w:color w:val="000000"/>
                <w:kern w:val="0"/>
                <w:sz w:val="27"/>
                <w:szCs w:val="27"/>
                <w14:ligatures w14:val="none"/>
              </w:rPr>
              <w:t>any amended</w:t>
            </w:r>
            <w:r w:rsidRPr="008C20AA">
              <w:rPr>
                <w:rFonts w:ascii="Times New Roman" w:eastAsia="Times New Roman" w:hAnsi="Times New Roman" w:cs="Times New Roman"/>
                <w:color w:val="000000"/>
                <w:kern w:val="0"/>
                <w:sz w:val="27"/>
                <w:szCs w:val="27"/>
                <w14:ligatures w14:val="none"/>
              </w:rPr>
              <w:t>] agreement for the importation of NCFW until:</w:t>
            </w:r>
          </w:p>
          <w:p w14:paraId="3B28D99B"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  (1)the </w:t>
            </w:r>
            <w:r w:rsidRPr="008C20AA">
              <w:rPr>
                <w:rFonts w:ascii="Times New Roman" w:eastAsia="Times New Roman" w:hAnsi="Times New Roman" w:cs="Times New Roman"/>
                <w:color w:val="000000"/>
                <w:kern w:val="0"/>
                <w:sz w:val="27"/>
                <w:szCs w:val="27"/>
                <w:u w:val="single"/>
                <w14:ligatures w14:val="none"/>
              </w:rPr>
              <w:t>NCFW agreement or any</w:t>
            </w:r>
            <w:r w:rsidRPr="008C20AA">
              <w:rPr>
                <w:rFonts w:ascii="Times New Roman" w:eastAsia="Times New Roman" w:hAnsi="Times New Roman" w:cs="Times New Roman"/>
                <w:color w:val="000000"/>
                <w:kern w:val="0"/>
                <w:sz w:val="27"/>
                <w:szCs w:val="27"/>
                <w14:ligatures w14:val="none"/>
              </w:rPr>
              <w:t> amendment to the NCFW agreement has been executed by both the Commission and the agreement holder; and</w:t>
            </w:r>
          </w:p>
          <w:p w14:paraId="2930F4B0"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lastRenderedPageBreak/>
              <w:t>  (2)the agreement holder has made any changes necessary to comply with additional requirements.</w:t>
            </w:r>
          </w:p>
          <w:p w14:paraId="5627D48F"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The agency certifies that legal counsel has reviewed the proposal and found it to be within the state agency's legal authority to adopt.</w:t>
            </w:r>
          </w:p>
          <w:p w14:paraId="51125CDF" w14:textId="77777777" w:rsidR="008C20AA" w:rsidRPr="008C20AA" w:rsidRDefault="008C20AA" w:rsidP="008C20AA">
            <w:pPr>
              <w:spacing w:after="0"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Filed with the Office of the Secretary of State on December 27, 2023</w:t>
            </w:r>
          </w:p>
          <w:p w14:paraId="4881B891"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b/>
                <w:bCs/>
                <w:color w:val="000000"/>
                <w:kern w:val="0"/>
                <w:sz w:val="27"/>
                <w:szCs w:val="27"/>
                <w14:ligatures w14:val="none"/>
              </w:rPr>
              <w:t>TRD-202304980</w:t>
            </w:r>
          </w:p>
          <w:p w14:paraId="33927F8C"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Stephen Raines</w:t>
            </w:r>
          </w:p>
          <w:p w14:paraId="1633F4C7"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Executive Director</w:t>
            </w:r>
          </w:p>
          <w:p w14:paraId="624244BE"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Texas Low-Level Radioactive Waste Disposal Compact Commission</w:t>
            </w:r>
          </w:p>
          <w:p w14:paraId="23540DAF"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Earliest possible date of adoption: February 11, 2024</w:t>
            </w:r>
          </w:p>
          <w:p w14:paraId="6A9DB230" w14:textId="77777777" w:rsidR="008C20AA" w:rsidRPr="008C20AA" w:rsidRDefault="008C20AA" w:rsidP="008C20A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8C20AA">
              <w:rPr>
                <w:rFonts w:ascii="Times New Roman" w:eastAsia="Times New Roman" w:hAnsi="Times New Roman" w:cs="Times New Roman"/>
                <w:color w:val="000000"/>
                <w:kern w:val="0"/>
                <w:sz w:val="27"/>
                <w:szCs w:val="27"/>
                <w14:ligatures w14:val="none"/>
              </w:rPr>
              <w:t>For further information, please call: (512) 350-6241</w:t>
            </w:r>
          </w:p>
        </w:tc>
      </w:tr>
    </w:tbl>
    <w:p w14:paraId="797A0C2B" w14:textId="77777777" w:rsidR="00572208" w:rsidRDefault="00572208"/>
    <w:sectPr w:rsidR="00572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AA"/>
    <w:rsid w:val="000E2376"/>
    <w:rsid w:val="00415802"/>
    <w:rsid w:val="00572208"/>
    <w:rsid w:val="00666F22"/>
    <w:rsid w:val="008C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2A56"/>
  <w15:chartTrackingRefBased/>
  <w15:docId w15:val="{1EC620E9-345E-4E37-8D86-4C34447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0AA"/>
    <w:rPr>
      <w:rFonts w:eastAsiaTheme="majorEastAsia" w:cstheme="majorBidi"/>
      <w:color w:val="272727" w:themeColor="text1" w:themeTint="D8"/>
    </w:rPr>
  </w:style>
  <w:style w:type="paragraph" w:styleId="Title">
    <w:name w:val="Title"/>
    <w:basedOn w:val="Normal"/>
    <w:next w:val="Normal"/>
    <w:link w:val="TitleChar"/>
    <w:uiPriority w:val="10"/>
    <w:qFormat/>
    <w:rsid w:val="008C2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0AA"/>
    <w:pPr>
      <w:spacing w:before="160"/>
      <w:jc w:val="center"/>
    </w:pPr>
    <w:rPr>
      <w:i/>
      <w:iCs/>
      <w:color w:val="404040" w:themeColor="text1" w:themeTint="BF"/>
    </w:rPr>
  </w:style>
  <w:style w:type="character" w:customStyle="1" w:styleId="QuoteChar">
    <w:name w:val="Quote Char"/>
    <w:basedOn w:val="DefaultParagraphFont"/>
    <w:link w:val="Quote"/>
    <w:uiPriority w:val="29"/>
    <w:rsid w:val="008C20AA"/>
    <w:rPr>
      <w:i/>
      <w:iCs/>
      <w:color w:val="404040" w:themeColor="text1" w:themeTint="BF"/>
    </w:rPr>
  </w:style>
  <w:style w:type="paragraph" w:styleId="ListParagraph">
    <w:name w:val="List Paragraph"/>
    <w:basedOn w:val="Normal"/>
    <w:uiPriority w:val="34"/>
    <w:qFormat/>
    <w:rsid w:val="008C20AA"/>
    <w:pPr>
      <w:ind w:left="720"/>
      <w:contextualSpacing/>
    </w:pPr>
  </w:style>
  <w:style w:type="character" w:styleId="IntenseEmphasis">
    <w:name w:val="Intense Emphasis"/>
    <w:basedOn w:val="DefaultParagraphFont"/>
    <w:uiPriority w:val="21"/>
    <w:qFormat/>
    <w:rsid w:val="008C20AA"/>
    <w:rPr>
      <w:i/>
      <w:iCs/>
      <w:color w:val="0F4761" w:themeColor="accent1" w:themeShade="BF"/>
    </w:rPr>
  </w:style>
  <w:style w:type="paragraph" w:styleId="IntenseQuote">
    <w:name w:val="Intense Quote"/>
    <w:basedOn w:val="Normal"/>
    <w:next w:val="Normal"/>
    <w:link w:val="IntenseQuoteChar"/>
    <w:uiPriority w:val="30"/>
    <w:qFormat/>
    <w:rsid w:val="008C2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0AA"/>
    <w:rPr>
      <w:i/>
      <w:iCs/>
      <w:color w:val="0F4761" w:themeColor="accent1" w:themeShade="BF"/>
    </w:rPr>
  </w:style>
  <w:style w:type="character" w:styleId="IntenseReference">
    <w:name w:val="Intense Reference"/>
    <w:basedOn w:val="DefaultParagraphFont"/>
    <w:uiPriority w:val="32"/>
    <w:qFormat/>
    <w:rsid w:val="008C20AA"/>
    <w:rPr>
      <w:b/>
      <w:bCs/>
      <w:smallCaps/>
      <w:color w:val="0F4761" w:themeColor="accent1" w:themeShade="BF"/>
      <w:spacing w:val="5"/>
    </w:rPr>
  </w:style>
  <w:style w:type="paragraph" w:styleId="NormalWeb">
    <w:name w:val="Normal (Web)"/>
    <w:basedOn w:val="Normal"/>
    <w:uiPriority w:val="99"/>
    <w:semiHidden/>
    <w:unhideWhenUsed/>
    <w:rsid w:val="008C20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C20AA"/>
    <w:rPr>
      <w:b/>
      <w:bCs/>
    </w:rPr>
  </w:style>
  <w:style w:type="character" w:styleId="Hyperlink">
    <w:name w:val="Hyperlink"/>
    <w:basedOn w:val="DefaultParagraphFont"/>
    <w:uiPriority w:val="99"/>
    <w:semiHidden/>
    <w:unhideWhenUsed/>
    <w:rsid w:val="008C2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5&amp;p_dir=&amp;p_rloc=190321&amp;p_tloc=&amp;p_ploc=&amp;pg=1&amp;p_tac=190321&amp;ti=31&amp;pt=21&amp;ch=675&amp;rl=24" TargetMode="External"/><Relationship Id="rId4" Type="http://schemas.openxmlformats.org/officeDocument/2006/relationships/hyperlink" Target="https://texreg.sos.state.tx.us/public/regviewer$ext.RegPage?sl=T&amp;app=2&amp;p_dir=N&amp;p_rloc=428235&amp;p_tloc=-1&amp;p_ploc=&amp;pg=1&amp;p_reg=202304980&amp;z_chk=52247&amp;z_cont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Raines</dc:creator>
  <cp:keywords/>
  <dc:description/>
  <cp:lastModifiedBy>Stephen Raines</cp:lastModifiedBy>
  <cp:revision>1</cp:revision>
  <dcterms:created xsi:type="dcterms:W3CDTF">2024-01-12T16:23:00Z</dcterms:created>
  <dcterms:modified xsi:type="dcterms:W3CDTF">2024-01-12T16:24:00Z</dcterms:modified>
</cp:coreProperties>
</file>